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6F63" w:rsidRPr="00041BCA" w:rsidRDefault="00EF6F63" w:rsidP="00EF6F63">
      <w:pPr>
        <w:jc w:val="center"/>
        <w:rPr>
          <w:b/>
        </w:rPr>
      </w:pPr>
      <w:r>
        <w:rPr>
          <w:b/>
        </w:rPr>
        <w:t>Annexe 3</w:t>
      </w:r>
    </w:p>
    <w:p w:rsidR="00EF6F63" w:rsidRDefault="00EF6F63" w:rsidP="00EF6F63">
      <w:pPr>
        <w:jc w:val="center"/>
        <w:rPr>
          <w:b/>
        </w:rPr>
      </w:pPr>
      <w:r>
        <w:rPr>
          <w:b/>
        </w:rPr>
        <w:t>Correspondance des zones de piégeage (Musée du Louvre)</w:t>
      </w:r>
    </w:p>
    <w:p w:rsidR="00F9323F" w:rsidRDefault="00F9323F"/>
    <w:p w:rsidR="00EF6F63" w:rsidRDefault="00EF6F63"/>
    <w:p w:rsidR="00EF6F63" w:rsidRDefault="00EF6F63">
      <w:r>
        <w:rPr>
          <w:noProof/>
        </w:rPr>
        <w:drawing>
          <wp:inline distT="0" distB="0" distL="0" distR="0" wp14:anchorId="218BF5E9">
            <wp:extent cx="8163560" cy="4498975"/>
            <wp:effectExtent l="0" t="0" r="889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3560" cy="4498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F6F63" w:rsidSect="00EF6F6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doNotDisplayPageBoundaries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6F63"/>
    <w:rsid w:val="0001336C"/>
    <w:rsid w:val="009008F1"/>
    <w:rsid w:val="00BD6802"/>
    <w:rsid w:val="00EF6F63"/>
    <w:rsid w:val="00F93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5A95A94"/>
  <w15:chartTrackingRefBased/>
  <w15:docId w15:val="{8ADC936D-6755-46B8-AA1E-B8641B69A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F6F6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1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Musée du Louvre</Company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Isakovitch Sandra</dc:creator>
  <cp:keywords/>
  <dc:description/>
  <cp:lastModifiedBy>Isakovitch Sandra</cp:lastModifiedBy>
  <cp:revision>1</cp:revision>
  <dcterms:created xsi:type="dcterms:W3CDTF">2025-06-25T10:39:00Z</dcterms:created>
  <dcterms:modified xsi:type="dcterms:W3CDTF">2025-06-25T12:46:00Z</dcterms:modified>
</cp:coreProperties>
</file>